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磷肥产品质量国家监督抽查实施细则</w:t>
      </w:r>
    </w:p>
    <w:p>
      <w:pPr>
        <w:spacing w:line="440" w:lineRule="exact"/>
        <w:jc w:val="center"/>
        <w:rPr>
          <w:rFonts w:eastAsia="方正小标宋简体" w:cs="方正仿宋简体"/>
          <w:color w:val="000000"/>
          <w:sz w:val="32"/>
          <w:szCs w:val="32"/>
        </w:rPr>
      </w:pPr>
      <w:r>
        <w:rPr>
          <w:rFonts w:hint="eastAsia" w:eastAsia="方正小标宋简体" w:cs="方正仿宋简体"/>
          <w:color w:val="000000"/>
          <w:sz w:val="32"/>
          <w:szCs w:val="32"/>
        </w:rPr>
        <w:t>（2022年版）</w:t>
      </w:r>
    </w:p>
    <w:p>
      <w:pPr>
        <w:spacing w:line="440" w:lineRule="exact"/>
        <w:jc w:val="center"/>
        <w:rPr>
          <w:rFonts w:hint="eastAsia" w:eastAsia="方正小标宋简体" w:cs="方正仿宋简体"/>
          <w:color w:val="000000"/>
          <w:sz w:val="32"/>
          <w:szCs w:val="32"/>
        </w:rPr>
      </w:pPr>
      <w:r>
        <w:rPr>
          <w:rFonts w:hint="eastAsia" w:eastAsia="方正小标宋简体" w:cs="方正仿宋简体"/>
          <w:color w:val="000000"/>
          <w:sz w:val="32"/>
          <w:szCs w:val="32"/>
        </w:rPr>
        <w:t>（征求意见稿）</w:t>
      </w:r>
    </w:p>
    <w:p>
      <w:pPr>
        <w:adjustRightInd w:val="0"/>
        <w:snapToGrid w:val="0"/>
        <w:spacing w:line="440" w:lineRule="exact"/>
        <w:jc w:val="center"/>
        <w:rPr>
          <w:rFonts w:eastAsia="方正小标宋简体" w:cs="方正仿宋简体"/>
          <w:color w:val="000000"/>
          <w:sz w:val="32"/>
          <w:szCs w:val="32"/>
        </w:rPr>
      </w:pPr>
    </w:p>
    <w:p>
      <w:pPr>
        <w:snapToGrid w:val="0"/>
        <w:spacing w:line="440" w:lineRule="exact"/>
        <w:rPr>
          <w:rFonts w:ascii="黑体" w:hAnsi="黑体" w:eastAsia="黑体"/>
          <w:color w:val="000000"/>
          <w:szCs w:val="21"/>
        </w:rPr>
      </w:pPr>
      <w:r>
        <w:rPr>
          <w:rFonts w:hint="eastAsia" w:ascii="黑体" w:hAnsi="黑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以随机抽样的方式在被抽样的、销售者的待销产品中抽取。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将粒状样品缩分至1000g左右，分装在</w:t>
      </w:r>
      <w:r>
        <w:rPr>
          <w:rFonts w:ascii="宋体" w:hAnsi="宋体"/>
          <w:color w:val="000000"/>
          <w:szCs w:val="21"/>
        </w:rPr>
        <w:t>2</w:t>
      </w:r>
      <w:r>
        <w:rPr>
          <w:rFonts w:hint="eastAsia" w:ascii="宋体" w:hAnsi="宋体"/>
          <w:color w:val="000000"/>
          <w:szCs w:val="21"/>
        </w:rPr>
        <w:t>个塑料瓶中，每瓶5</w:t>
      </w:r>
      <w:r>
        <w:rPr>
          <w:rFonts w:ascii="宋体" w:hAnsi="宋体"/>
          <w:color w:val="000000"/>
          <w:szCs w:val="21"/>
        </w:rPr>
        <w:t>00g</w:t>
      </w:r>
      <w:r>
        <w:rPr>
          <w:rFonts w:hint="eastAsia" w:ascii="宋体" w:hAnsi="宋体"/>
          <w:color w:val="000000"/>
          <w:szCs w:val="21"/>
        </w:rPr>
        <w:t>左右；将粉状样品缩分至约500</w:t>
      </w:r>
      <w:r>
        <w:rPr>
          <w:rFonts w:ascii="宋体" w:hAnsi="宋体"/>
          <w:color w:val="000000"/>
          <w:szCs w:val="21"/>
        </w:rPr>
        <w:t>g</w:t>
      </w:r>
      <w:r>
        <w:rPr>
          <w:rFonts w:hint="eastAsia" w:ascii="宋体" w:hAnsi="宋体"/>
          <w:color w:val="000000"/>
          <w:szCs w:val="21"/>
        </w:rPr>
        <w:t>左右，分装在</w:t>
      </w:r>
      <w:r>
        <w:rPr>
          <w:rFonts w:ascii="宋体" w:hAnsi="宋体"/>
          <w:color w:val="000000"/>
          <w:szCs w:val="21"/>
        </w:rPr>
        <w:t>2</w:t>
      </w:r>
      <w:r>
        <w:rPr>
          <w:rFonts w:hint="eastAsia" w:ascii="宋体" w:hAnsi="宋体"/>
          <w:color w:val="000000"/>
          <w:szCs w:val="21"/>
        </w:rPr>
        <w:t>个塑料瓶中，每瓶25</w:t>
      </w:r>
      <w:r>
        <w:rPr>
          <w:rFonts w:ascii="宋体" w:hAnsi="宋体"/>
          <w:color w:val="000000"/>
          <w:szCs w:val="21"/>
        </w:rPr>
        <w:t>0g</w:t>
      </w:r>
      <w:r>
        <w:rPr>
          <w:rFonts w:hint="eastAsia" w:ascii="宋体" w:hAnsi="宋体"/>
          <w:color w:val="000000"/>
          <w:szCs w:val="21"/>
        </w:rPr>
        <w:t>左右。</w:t>
      </w:r>
      <w:r>
        <w:rPr>
          <w:rFonts w:ascii="宋体" w:hAnsi="宋体"/>
          <w:color w:val="000000"/>
          <w:szCs w:val="21"/>
        </w:rPr>
        <w:t>1</w:t>
      </w:r>
      <w:r>
        <w:rPr>
          <w:rFonts w:hint="eastAsia" w:ascii="宋体" w:hAnsi="宋体"/>
          <w:color w:val="000000"/>
          <w:szCs w:val="21"/>
        </w:rPr>
        <w:t>瓶作为检验样品，另</w:t>
      </w:r>
      <w:r>
        <w:rPr>
          <w:rFonts w:ascii="宋体" w:hAnsi="宋体"/>
          <w:color w:val="000000"/>
          <w:szCs w:val="21"/>
        </w:rPr>
        <w:t>1</w:t>
      </w:r>
      <w:r>
        <w:rPr>
          <w:rFonts w:hint="eastAsia" w:ascii="宋体" w:hAnsi="宋体"/>
          <w:color w:val="000000"/>
          <w:szCs w:val="21"/>
        </w:rPr>
        <w:t>瓶作为备用样品。</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黑体" w:eastAsia="黑体"/>
          <w:bCs/>
          <w:color w:val="000000"/>
          <w:szCs w:val="21"/>
        </w:rPr>
      </w:pPr>
      <w:r>
        <w:rPr>
          <w:rFonts w:hint="eastAsia" w:ascii="黑体" w:hAnsi="黑体" w:eastAsia="黑体"/>
          <w:color w:val="000000"/>
          <w:szCs w:val="21"/>
        </w:rPr>
        <w:t>2 检验依据</w:t>
      </w:r>
    </w:p>
    <w:p>
      <w:pPr>
        <w:snapToGrid w:val="0"/>
        <w:spacing w:line="440" w:lineRule="exact"/>
        <w:jc w:val="center"/>
        <w:rPr>
          <w:bCs/>
          <w:color w:val="000000"/>
          <w:szCs w:val="21"/>
        </w:rPr>
      </w:pPr>
      <w:r>
        <w:rPr>
          <w:rFonts w:hint="eastAsia"/>
          <w:bCs/>
          <w:color w:val="000000"/>
          <w:szCs w:val="21"/>
        </w:rPr>
        <w:t>表1</w:t>
      </w:r>
      <w:r>
        <w:rPr>
          <w:bCs/>
          <w:color w:val="000000"/>
          <w:szCs w:val="21"/>
        </w:rPr>
        <w:t xml:space="preserve"> </w:t>
      </w:r>
      <w:r>
        <w:rPr>
          <w:rFonts w:hint="eastAsia"/>
          <w:bCs/>
          <w:color w:val="000000"/>
          <w:szCs w:val="21"/>
        </w:rPr>
        <w:t>过磷酸钙</w:t>
      </w:r>
    </w:p>
    <w:tbl>
      <w:tblPr>
        <w:tblStyle w:val="8"/>
        <w:tblW w:w="9062"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9"/>
        <w:gridCol w:w="5670"/>
        <w:gridCol w:w="26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blHeader/>
        </w:trPr>
        <w:tc>
          <w:tcPr>
            <w:tcW w:w="699" w:type="dxa"/>
            <w:shd w:val="clear" w:color="auto" w:fill="auto"/>
            <w:noWrap/>
            <w:vAlign w:val="center"/>
          </w:tcPr>
          <w:p>
            <w:pPr>
              <w:widowControl/>
              <w:jc w:val="center"/>
              <w:rPr>
                <w:color w:val="000000"/>
                <w:kern w:val="0"/>
                <w:szCs w:val="21"/>
              </w:rPr>
            </w:pPr>
            <w:r>
              <w:rPr>
                <w:color w:val="000000"/>
                <w:kern w:val="0"/>
                <w:szCs w:val="21"/>
              </w:rPr>
              <w:t>序号</w:t>
            </w:r>
          </w:p>
        </w:tc>
        <w:tc>
          <w:tcPr>
            <w:tcW w:w="5670" w:type="dxa"/>
            <w:shd w:val="clear" w:color="auto" w:fill="auto"/>
            <w:noWrap/>
            <w:vAlign w:val="center"/>
          </w:tcPr>
          <w:p>
            <w:pPr>
              <w:widowControl/>
              <w:jc w:val="center"/>
              <w:rPr>
                <w:color w:val="000000"/>
                <w:kern w:val="0"/>
                <w:szCs w:val="21"/>
              </w:rPr>
            </w:pPr>
            <w:r>
              <w:rPr>
                <w:color w:val="000000"/>
                <w:kern w:val="0"/>
                <w:szCs w:val="21"/>
              </w:rPr>
              <w:t>检验项目</w:t>
            </w:r>
          </w:p>
        </w:tc>
        <w:tc>
          <w:tcPr>
            <w:tcW w:w="2693" w:type="dxa"/>
            <w:shd w:val="clear" w:color="auto" w:fill="auto"/>
            <w:noWrap/>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有效磷</w:t>
            </w:r>
            <w:r>
              <w:rPr>
                <w:rFonts w:hint="eastAsia"/>
                <w:color w:val="000000"/>
                <w:kern w:val="0"/>
                <w:szCs w:val="21"/>
              </w:rPr>
              <w:t>(</w:t>
            </w:r>
            <w:r>
              <w:rPr>
                <w:color w:val="000000"/>
                <w:kern w:val="0"/>
                <w:szCs w:val="21"/>
              </w:rPr>
              <w:t>以P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计</w:t>
            </w:r>
            <w:r>
              <w:rPr>
                <w:rFonts w:hint="eastAsia"/>
                <w:color w:val="000000"/>
                <w:kern w:val="0"/>
                <w:szCs w:val="21"/>
              </w:rPr>
              <w:t>)</w:t>
            </w:r>
            <w:r>
              <w:rPr>
                <w:color w:val="000000"/>
                <w:kern w:val="0"/>
                <w:szCs w:val="21"/>
              </w:rPr>
              <w:t>的质量分数</w:t>
            </w:r>
          </w:p>
        </w:tc>
        <w:tc>
          <w:tcPr>
            <w:tcW w:w="2693" w:type="dxa"/>
            <w:shd w:val="clear" w:color="auto" w:fill="auto"/>
            <w:noWrap/>
            <w:vAlign w:val="center"/>
          </w:tcPr>
          <w:p>
            <w:pPr>
              <w:widowControl/>
              <w:jc w:val="center"/>
              <w:rPr>
                <w:color w:val="000000"/>
                <w:kern w:val="0"/>
                <w:szCs w:val="21"/>
              </w:rPr>
            </w:pPr>
            <w:r>
              <w:rPr>
                <w:color w:val="000000"/>
                <w:kern w:val="0"/>
                <w:szCs w:val="21"/>
              </w:rPr>
              <w:t>GB/T 20413-2017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水溶性磷</w:t>
            </w:r>
            <w:r>
              <w:rPr>
                <w:rFonts w:hint="eastAsia"/>
                <w:color w:val="000000"/>
                <w:kern w:val="0"/>
                <w:szCs w:val="21"/>
              </w:rPr>
              <w:t>(</w:t>
            </w:r>
            <w:r>
              <w:rPr>
                <w:color w:val="000000"/>
                <w:kern w:val="0"/>
                <w:szCs w:val="21"/>
              </w:rPr>
              <w:t>以P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计</w:t>
            </w:r>
            <w:r>
              <w:rPr>
                <w:rFonts w:hint="eastAsia"/>
                <w:color w:val="000000"/>
                <w:kern w:val="0"/>
                <w:szCs w:val="21"/>
              </w:rPr>
              <w:t>)</w:t>
            </w:r>
            <w:r>
              <w:rPr>
                <w:color w:val="000000"/>
                <w:kern w:val="0"/>
                <w:szCs w:val="21"/>
              </w:rPr>
              <w:t>的质量分数</w:t>
            </w:r>
          </w:p>
        </w:tc>
        <w:tc>
          <w:tcPr>
            <w:tcW w:w="2693" w:type="dxa"/>
            <w:shd w:val="clear" w:color="auto" w:fill="auto"/>
            <w:noWrap/>
            <w:vAlign w:val="center"/>
          </w:tcPr>
          <w:p>
            <w:pPr>
              <w:widowControl/>
              <w:jc w:val="center"/>
              <w:rPr>
                <w:color w:val="000000"/>
                <w:kern w:val="0"/>
                <w:szCs w:val="21"/>
              </w:rPr>
            </w:pPr>
            <w:r>
              <w:rPr>
                <w:color w:val="000000"/>
                <w:kern w:val="0"/>
                <w:szCs w:val="21"/>
              </w:rPr>
              <w:t>GB/T 20413-2017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硫</w:t>
            </w:r>
            <w:r>
              <w:rPr>
                <w:rFonts w:hint="eastAsia"/>
                <w:color w:val="000000"/>
                <w:kern w:val="0"/>
                <w:szCs w:val="21"/>
              </w:rPr>
              <w:t>(</w:t>
            </w:r>
            <w:r>
              <w:rPr>
                <w:color w:val="000000"/>
                <w:kern w:val="0"/>
                <w:szCs w:val="21"/>
              </w:rPr>
              <w:t>以S计</w:t>
            </w:r>
            <w:r>
              <w:rPr>
                <w:rFonts w:hint="eastAsia"/>
                <w:color w:val="000000"/>
                <w:kern w:val="0"/>
                <w:szCs w:val="21"/>
              </w:rPr>
              <w:t>)</w:t>
            </w:r>
            <w:r>
              <w:rPr>
                <w:color w:val="000000"/>
                <w:kern w:val="0"/>
                <w:szCs w:val="21"/>
              </w:rPr>
              <w:t>的质量分数</w:t>
            </w:r>
          </w:p>
        </w:tc>
        <w:tc>
          <w:tcPr>
            <w:tcW w:w="2693" w:type="dxa"/>
            <w:shd w:val="clear" w:color="auto" w:fill="auto"/>
            <w:noWrap/>
            <w:vAlign w:val="center"/>
          </w:tcPr>
          <w:p>
            <w:pPr>
              <w:jc w:val="center"/>
              <w:rPr>
                <w:color w:val="000000"/>
                <w:kern w:val="0"/>
                <w:szCs w:val="21"/>
              </w:rPr>
            </w:pPr>
            <w:r>
              <w:rPr>
                <w:color w:val="000000"/>
                <w:kern w:val="0"/>
                <w:szCs w:val="21"/>
              </w:rPr>
              <w:t>GB/T 19203-2003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游离酸</w:t>
            </w:r>
            <w:r>
              <w:rPr>
                <w:rFonts w:hint="eastAsia"/>
                <w:color w:val="000000"/>
                <w:kern w:val="0"/>
                <w:szCs w:val="21"/>
              </w:rPr>
              <w:t>(</w:t>
            </w:r>
            <w:r>
              <w:rPr>
                <w:color w:val="000000"/>
                <w:kern w:val="0"/>
                <w:szCs w:val="21"/>
              </w:rPr>
              <w:t>以P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计</w:t>
            </w:r>
            <w:r>
              <w:rPr>
                <w:rFonts w:hint="eastAsia"/>
                <w:color w:val="000000"/>
                <w:kern w:val="0"/>
                <w:szCs w:val="21"/>
              </w:rPr>
              <w:t>)</w:t>
            </w:r>
            <w:r>
              <w:rPr>
                <w:color w:val="000000"/>
                <w:kern w:val="0"/>
                <w:szCs w:val="21"/>
              </w:rPr>
              <w:t>的质量分数</w:t>
            </w:r>
          </w:p>
        </w:tc>
        <w:tc>
          <w:tcPr>
            <w:tcW w:w="2693" w:type="dxa"/>
            <w:shd w:val="clear" w:color="auto" w:fill="auto"/>
            <w:noWrap/>
            <w:vAlign w:val="center"/>
          </w:tcPr>
          <w:p>
            <w:pPr>
              <w:widowControl/>
              <w:jc w:val="center"/>
              <w:rPr>
                <w:color w:val="000000"/>
                <w:kern w:val="0"/>
                <w:szCs w:val="21"/>
              </w:rPr>
            </w:pPr>
            <w:r>
              <w:rPr>
                <w:color w:val="000000"/>
                <w:kern w:val="0"/>
                <w:szCs w:val="21"/>
              </w:rPr>
              <w:t>GB/T 20413-2017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游离水的质量分数</w:t>
            </w:r>
          </w:p>
        </w:tc>
        <w:tc>
          <w:tcPr>
            <w:tcW w:w="2693" w:type="dxa"/>
            <w:shd w:val="clear" w:color="auto" w:fill="auto"/>
            <w:noWrap/>
            <w:vAlign w:val="center"/>
          </w:tcPr>
          <w:p>
            <w:pPr>
              <w:widowControl/>
              <w:jc w:val="center"/>
              <w:rPr>
                <w:color w:val="000000"/>
                <w:kern w:val="0"/>
                <w:szCs w:val="21"/>
              </w:rPr>
            </w:pPr>
            <w:r>
              <w:rPr>
                <w:color w:val="000000"/>
                <w:kern w:val="0"/>
                <w:szCs w:val="21"/>
              </w:rPr>
              <w:t>GB/T 20413-2017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三氯乙醛的质量分数</w:t>
            </w:r>
          </w:p>
        </w:tc>
        <w:tc>
          <w:tcPr>
            <w:tcW w:w="2693" w:type="dxa"/>
            <w:shd w:val="clear" w:color="auto" w:fill="auto"/>
            <w:noWrap/>
            <w:vAlign w:val="center"/>
          </w:tcPr>
          <w:p>
            <w:pPr>
              <w:jc w:val="center"/>
              <w:rPr>
                <w:color w:val="000000"/>
                <w:kern w:val="0"/>
                <w:szCs w:val="21"/>
              </w:rPr>
            </w:pPr>
            <w:r>
              <w:rPr>
                <w:color w:val="000000"/>
                <w:kern w:val="0"/>
                <w:szCs w:val="21"/>
              </w:rPr>
              <w:t>GB/T 31266-2014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粒度</w:t>
            </w:r>
            <w:r>
              <w:rPr>
                <w:rFonts w:hint="eastAsia"/>
                <w:color w:val="000000"/>
                <w:kern w:val="0"/>
                <w:szCs w:val="21"/>
              </w:rPr>
              <w:t>(</w:t>
            </w:r>
            <w:r>
              <w:rPr>
                <w:color w:val="000000"/>
                <w:kern w:val="0"/>
                <w:szCs w:val="21"/>
              </w:rPr>
              <w:t>1.00mm～4.75mm或3.35mm～5.60mm</w:t>
            </w:r>
            <w:r>
              <w:rPr>
                <w:rFonts w:hint="eastAsia"/>
                <w:color w:val="000000"/>
                <w:kern w:val="0"/>
                <w:szCs w:val="21"/>
              </w:rPr>
              <w:t>)</w:t>
            </w:r>
            <w:r>
              <w:rPr>
                <w:color w:val="000000"/>
                <w:kern w:val="0"/>
                <w:szCs w:val="21"/>
              </w:rPr>
              <w:t>的质量分数</w:t>
            </w:r>
          </w:p>
        </w:tc>
        <w:tc>
          <w:tcPr>
            <w:tcW w:w="2693" w:type="dxa"/>
            <w:shd w:val="clear" w:color="auto" w:fill="auto"/>
            <w:noWrap/>
            <w:vAlign w:val="center"/>
          </w:tcPr>
          <w:p>
            <w:pPr>
              <w:widowControl/>
              <w:jc w:val="center"/>
              <w:rPr>
                <w:color w:val="000000"/>
                <w:kern w:val="0"/>
                <w:szCs w:val="21"/>
              </w:rPr>
            </w:pPr>
            <w:r>
              <w:rPr>
                <w:color w:val="000000"/>
                <w:kern w:val="0"/>
                <w:szCs w:val="21"/>
              </w:rPr>
              <w:t>GB/T 20413-2017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总砷</w:t>
            </w:r>
          </w:p>
        </w:tc>
        <w:tc>
          <w:tcPr>
            <w:tcW w:w="2693"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总镉</w:t>
            </w:r>
          </w:p>
        </w:tc>
        <w:tc>
          <w:tcPr>
            <w:tcW w:w="2693"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总铅</w:t>
            </w:r>
          </w:p>
        </w:tc>
        <w:tc>
          <w:tcPr>
            <w:tcW w:w="2693"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总铬</w:t>
            </w:r>
          </w:p>
        </w:tc>
        <w:tc>
          <w:tcPr>
            <w:tcW w:w="2693"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tcBorders>
              <w:bottom w:val="single" w:color="auto" w:sz="8" w:space="0"/>
            </w:tcBorders>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总汞</w:t>
            </w:r>
          </w:p>
        </w:tc>
        <w:tc>
          <w:tcPr>
            <w:tcW w:w="2693"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总铊</w:t>
            </w:r>
          </w:p>
        </w:tc>
        <w:tc>
          <w:tcPr>
            <w:tcW w:w="2693" w:type="dxa"/>
            <w:shd w:val="clear" w:color="auto" w:fill="FFFFFF"/>
            <w:noWrap/>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7"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rFonts w:hint="eastAsia"/>
                <w:color w:val="000000"/>
                <w:kern w:val="0"/>
                <w:szCs w:val="21"/>
              </w:rPr>
              <w:t>挥发性有机化合物</w:t>
            </w:r>
          </w:p>
        </w:tc>
        <w:tc>
          <w:tcPr>
            <w:tcW w:w="2693" w:type="dxa"/>
            <w:shd w:val="clear" w:color="auto" w:fill="auto"/>
            <w:noWrap/>
            <w:vAlign w:val="center"/>
          </w:tcPr>
          <w:p>
            <w:pPr>
              <w:widowControl/>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3" w:hRule="atLeast"/>
        </w:trPr>
        <w:tc>
          <w:tcPr>
            <w:tcW w:w="699" w:type="dxa"/>
            <w:shd w:val="clear" w:color="auto" w:fill="auto"/>
            <w:noWrap/>
            <w:vAlign w:val="center"/>
          </w:tcPr>
          <w:p>
            <w:pPr>
              <w:pStyle w:val="20"/>
              <w:widowControl/>
              <w:numPr>
                <w:ilvl w:val="0"/>
                <w:numId w:val="1"/>
              </w:numPr>
              <w:ind w:firstLineChars="0"/>
              <w:jc w:val="center"/>
              <w:rPr>
                <w:rFonts w:ascii="Times New Roman" w:hAnsi="Times New Roman" w:eastAsia="宋体"/>
                <w:color w:val="000000"/>
                <w:kern w:val="0"/>
                <w:szCs w:val="21"/>
              </w:rPr>
            </w:pPr>
          </w:p>
        </w:tc>
        <w:tc>
          <w:tcPr>
            <w:tcW w:w="5670" w:type="dxa"/>
            <w:shd w:val="clear" w:color="auto" w:fill="auto"/>
            <w:noWrap/>
            <w:vAlign w:val="center"/>
          </w:tcPr>
          <w:p>
            <w:pPr>
              <w:widowControl/>
              <w:jc w:val="center"/>
              <w:rPr>
                <w:color w:val="000000"/>
                <w:kern w:val="0"/>
                <w:szCs w:val="21"/>
              </w:rPr>
            </w:pPr>
            <w:r>
              <w:rPr>
                <w:color w:val="000000"/>
                <w:kern w:val="0"/>
                <w:szCs w:val="21"/>
              </w:rPr>
              <w:t>包装标识</w:t>
            </w:r>
            <w:r>
              <w:rPr>
                <w:rFonts w:hint="eastAsia"/>
                <w:color w:val="000000"/>
                <w:kern w:val="0"/>
                <w:szCs w:val="21"/>
              </w:rPr>
              <w:t>(养分含量</w:t>
            </w:r>
            <w:r>
              <w:rPr>
                <w:color w:val="000000"/>
                <w:kern w:val="0"/>
                <w:szCs w:val="21"/>
              </w:rPr>
              <w:t>)</w:t>
            </w:r>
          </w:p>
        </w:tc>
        <w:tc>
          <w:tcPr>
            <w:tcW w:w="2693" w:type="dxa"/>
            <w:shd w:val="clear" w:color="auto" w:fill="auto"/>
            <w:noWrap/>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20413-2017</w:t>
            </w:r>
          </w:p>
        </w:tc>
      </w:tr>
    </w:tbl>
    <w:p>
      <w:pPr>
        <w:snapToGrid w:val="0"/>
        <w:spacing w:line="440" w:lineRule="exact"/>
        <w:jc w:val="center"/>
        <w:rPr>
          <w:bCs/>
          <w:color w:val="000000"/>
          <w:szCs w:val="21"/>
        </w:rPr>
      </w:pPr>
    </w:p>
    <w:p>
      <w:pPr>
        <w:snapToGrid w:val="0"/>
        <w:spacing w:line="440" w:lineRule="exact"/>
        <w:jc w:val="center"/>
        <w:rPr>
          <w:bCs/>
          <w:color w:val="000000"/>
          <w:szCs w:val="21"/>
        </w:rPr>
      </w:pPr>
      <w:r>
        <w:rPr>
          <w:bCs/>
          <w:color w:val="000000"/>
          <w:szCs w:val="21"/>
        </w:rPr>
        <w:t>表</w:t>
      </w:r>
      <w:r>
        <w:rPr>
          <w:rFonts w:hint="eastAsia"/>
          <w:bCs/>
          <w:color w:val="000000"/>
          <w:szCs w:val="21"/>
        </w:rPr>
        <w:t>2</w:t>
      </w:r>
      <w:r>
        <w:rPr>
          <w:bCs/>
          <w:color w:val="000000"/>
          <w:szCs w:val="21"/>
        </w:rPr>
        <w:t xml:space="preserve"> </w:t>
      </w:r>
      <w:r>
        <w:rPr>
          <w:rFonts w:hint="eastAsia"/>
          <w:bCs/>
          <w:color w:val="000000"/>
          <w:szCs w:val="21"/>
        </w:rPr>
        <w:t>钙镁磷肥</w:t>
      </w:r>
    </w:p>
    <w:tbl>
      <w:tblPr>
        <w:tblStyle w:val="8"/>
        <w:tblW w:w="8921" w:type="dxa"/>
        <w:tblInd w:w="11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699"/>
        <w:gridCol w:w="4961"/>
        <w:gridCol w:w="326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blHeader/>
        </w:trPr>
        <w:tc>
          <w:tcPr>
            <w:tcW w:w="699" w:type="dxa"/>
            <w:shd w:val="clear" w:color="auto" w:fill="auto"/>
            <w:vAlign w:val="center"/>
          </w:tcPr>
          <w:p>
            <w:pPr>
              <w:widowControl/>
              <w:jc w:val="center"/>
              <w:rPr>
                <w:color w:val="000000"/>
                <w:kern w:val="0"/>
                <w:szCs w:val="21"/>
              </w:rPr>
            </w:pPr>
            <w:r>
              <w:rPr>
                <w:color w:val="000000"/>
                <w:kern w:val="0"/>
                <w:szCs w:val="21"/>
              </w:rPr>
              <w:t>序号</w:t>
            </w:r>
          </w:p>
        </w:tc>
        <w:tc>
          <w:tcPr>
            <w:tcW w:w="4961" w:type="dxa"/>
            <w:shd w:val="clear" w:color="auto" w:fill="auto"/>
            <w:vAlign w:val="center"/>
          </w:tcPr>
          <w:p>
            <w:pPr>
              <w:widowControl/>
              <w:jc w:val="center"/>
              <w:rPr>
                <w:color w:val="000000"/>
                <w:kern w:val="0"/>
                <w:szCs w:val="21"/>
              </w:rPr>
            </w:pPr>
            <w:r>
              <w:rPr>
                <w:color w:val="000000"/>
                <w:kern w:val="0"/>
                <w:szCs w:val="21"/>
              </w:rPr>
              <w:t>检验项目</w:t>
            </w:r>
          </w:p>
        </w:tc>
        <w:tc>
          <w:tcPr>
            <w:tcW w:w="3261" w:type="dxa"/>
            <w:shd w:val="clear" w:color="auto" w:fill="auto"/>
            <w:vAlign w:val="center"/>
          </w:tcPr>
          <w:p>
            <w:pPr>
              <w:widowControl/>
              <w:jc w:val="center"/>
              <w:rPr>
                <w:color w:val="000000"/>
                <w:kern w:val="0"/>
                <w:szCs w:val="21"/>
              </w:rPr>
            </w:pPr>
            <w:r>
              <w:rPr>
                <w:color w:val="000000"/>
                <w:kern w:val="0"/>
                <w:szCs w:val="21"/>
              </w:rPr>
              <w:t>检验方法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0"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color w:val="000000"/>
                <w:kern w:val="0"/>
                <w:szCs w:val="21"/>
              </w:rPr>
              <w:t>有效五氧化二磷</w:t>
            </w:r>
            <w:r>
              <w:rPr>
                <w:rFonts w:hint="eastAsia"/>
                <w:color w:val="000000"/>
                <w:kern w:val="0"/>
                <w:szCs w:val="21"/>
              </w:rPr>
              <w:t>(</w:t>
            </w:r>
            <w:r>
              <w:rPr>
                <w:color w:val="000000"/>
                <w:kern w:val="0"/>
                <w:szCs w:val="21"/>
              </w:rPr>
              <w:t>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)的质量分数</w:t>
            </w:r>
          </w:p>
        </w:tc>
        <w:tc>
          <w:tcPr>
            <w:tcW w:w="3261" w:type="dxa"/>
            <w:shd w:val="clear" w:color="auto" w:fill="auto"/>
            <w:vAlign w:val="center"/>
          </w:tcPr>
          <w:p>
            <w:pPr>
              <w:jc w:val="center"/>
              <w:rPr>
                <w:color w:val="000000"/>
                <w:kern w:val="0"/>
                <w:szCs w:val="21"/>
              </w:rPr>
            </w:pPr>
            <w:r>
              <w:rPr>
                <w:color w:val="000000"/>
                <w:kern w:val="0"/>
                <w:szCs w:val="21"/>
              </w:rPr>
              <w:t>GB/T 20412-2006</w:t>
            </w:r>
          </w:p>
          <w:p>
            <w:pPr>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0"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color w:val="000000"/>
                <w:kern w:val="0"/>
                <w:szCs w:val="21"/>
              </w:rPr>
              <w:t>水分</w:t>
            </w:r>
            <w:r>
              <w:rPr>
                <w:rFonts w:hint="eastAsia"/>
                <w:color w:val="000000"/>
                <w:kern w:val="0"/>
                <w:szCs w:val="21"/>
              </w:rPr>
              <w:t>(</w:t>
            </w:r>
            <w:r>
              <w:rPr>
                <w:color w:val="000000"/>
                <w:kern w:val="0"/>
                <w:szCs w:val="21"/>
              </w:rPr>
              <w:t>H</w:t>
            </w:r>
            <w:r>
              <w:rPr>
                <w:color w:val="000000"/>
                <w:kern w:val="0"/>
                <w:szCs w:val="21"/>
                <w:vertAlign w:val="subscript"/>
              </w:rPr>
              <w:t>2</w:t>
            </w:r>
            <w:r>
              <w:rPr>
                <w:color w:val="000000"/>
                <w:kern w:val="0"/>
                <w:szCs w:val="21"/>
              </w:rPr>
              <w:t>O)的质量分数</w:t>
            </w:r>
          </w:p>
        </w:tc>
        <w:tc>
          <w:tcPr>
            <w:tcW w:w="3261" w:type="dxa"/>
            <w:shd w:val="clear" w:color="auto" w:fill="auto"/>
            <w:vAlign w:val="center"/>
          </w:tcPr>
          <w:p>
            <w:pPr>
              <w:jc w:val="center"/>
              <w:rPr>
                <w:color w:val="000000"/>
                <w:kern w:val="0"/>
                <w:szCs w:val="21"/>
              </w:rPr>
            </w:pPr>
            <w:r>
              <w:rPr>
                <w:color w:val="000000"/>
                <w:kern w:val="0"/>
                <w:szCs w:val="21"/>
              </w:rPr>
              <w:t>GB/T 20412-2006</w:t>
            </w:r>
          </w:p>
          <w:p>
            <w:pPr>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5"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color w:val="000000"/>
                <w:kern w:val="0"/>
                <w:szCs w:val="21"/>
              </w:rPr>
              <w:t>细度</w:t>
            </w:r>
            <w:r>
              <w:rPr>
                <w:rFonts w:hint="eastAsia"/>
                <w:color w:val="000000"/>
                <w:kern w:val="0"/>
                <w:szCs w:val="21"/>
              </w:rPr>
              <w:t>(</w:t>
            </w:r>
            <w:r>
              <w:rPr>
                <w:color w:val="000000"/>
                <w:kern w:val="0"/>
                <w:szCs w:val="21"/>
              </w:rPr>
              <w:t>通过0.25mm试验筛</w:t>
            </w:r>
            <w:r>
              <w:rPr>
                <w:rFonts w:hint="eastAsia"/>
                <w:color w:val="000000"/>
                <w:kern w:val="0"/>
                <w:szCs w:val="21"/>
              </w:rPr>
              <w:t>)</w:t>
            </w:r>
          </w:p>
        </w:tc>
        <w:tc>
          <w:tcPr>
            <w:tcW w:w="3261" w:type="dxa"/>
            <w:shd w:val="clear" w:color="auto" w:fill="auto"/>
            <w:vAlign w:val="center"/>
          </w:tcPr>
          <w:p>
            <w:pPr>
              <w:jc w:val="center"/>
              <w:rPr>
                <w:color w:val="000000"/>
                <w:kern w:val="0"/>
                <w:szCs w:val="21"/>
              </w:rPr>
            </w:pPr>
            <w:r>
              <w:rPr>
                <w:color w:val="000000"/>
                <w:kern w:val="0"/>
                <w:szCs w:val="21"/>
              </w:rPr>
              <w:t>GB/T 20412-2006</w:t>
            </w:r>
          </w:p>
          <w:p>
            <w:pPr>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rFonts w:hint="eastAsia"/>
                <w:color w:val="000000"/>
                <w:kern w:val="0"/>
                <w:szCs w:val="21"/>
              </w:rPr>
              <w:t>粒度(</w:t>
            </w:r>
            <w:r>
              <w:rPr>
                <w:color w:val="000000"/>
                <w:kern w:val="0"/>
                <w:szCs w:val="21"/>
              </w:rPr>
              <w:t>2.00mm~4.75mm)</w:t>
            </w:r>
          </w:p>
        </w:tc>
        <w:tc>
          <w:tcPr>
            <w:tcW w:w="3261" w:type="dxa"/>
            <w:shd w:val="clear" w:color="auto" w:fill="auto"/>
            <w:vAlign w:val="center"/>
          </w:tcPr>
          <w:p>
            <w:pPr>
              <w:widowControl/>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rFonts w:hint="eastAsia"/>
                <w:color w:val="000000"/>
                <w:kern w:val="0"/>
                <w:szCs w:val="21"/>
              </w:rPr>
              <w:t>有效钙</w:t>
            </w:r>
          </w:p>
        </w:tc>
        <w:tc>
          <w:tcPr>
            <w:tcW w:w="3261" w:type="dxa"/>
            <w:shd w:val="clear" w:color="auto" w:fill="auto"/>
            <w:vAlign w:val="center"/>
          </w:tcPr>
          <w:p>
            <w:pPr>
              <w:widowControl/>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rFonts w:hint="eastAsia"/>
                <w:color w:val="000000"/>
                <w:kern w:val="0"/>
                <w:szCs w:val="21"/>
              </w:rPr>
              <w:t>可溶性硅</w:t>
            </w:r>
          </w:p>
        </w:tc>
        <w:tc>
          <w:tcPr>
            <w:tcW w:w="3261" w:type="dxa"/>
            <w:shd w:val="clear" w:color="auto" w:fill="auto"/>
            <w:vAlign w:val="center"/>
          </w:tcPr>
          <w:p>
            <w:pPr>
              <w:widowControl/>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rFonts w:hint="eastAsia"/>
                <w:color w:val="000000"/>
                <w:kern w:val="0"/>
                <w:szCs w:val="21"/>
              </w:rPr>
              <w:t>有效镁</w:t>
            </w:r>
          </w:p>
        </w:tc>
        <w:tc>
          <w:tcPr>
            <w:tcW w:w="3261" w:type="dxa"/>
            <w:shd w:val="clear" w:color="auto" w:fill="auto"/>
            <w:vAlign w:val="center"/>
          </w:tcPr>
          <w:p>
            <w:pPr>
              <w:widowControl/>
              <w:jc w:val="center"/>
              <w:rPr>
                <w:color w:val="000000"/>
                <w:kern w:val="0"/>
                <w:szCs w:val="21"/>
              </w:rPr>
            </w:pPr>
            <w:r>
              <w:rPr>
                <w:color w:val="000000"/>
                <w:kern w:val="0"/>
                <w:szCs w:val="21"/>
              </w:rPr>
              <w:t>GB/T 20412-2021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tcBorders>
              <w:bottom w:val="single" w:color="auto" w:sz="8" w:space="0"/>
            </w:tcBorders>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总砷</w:t>
            </w:r>
          </w:p>
        </w:tc>
        <w:tc>
          <w:tcPr>
            <w:tcW w:w="3261"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tcBorders>
              <w:bottom w:val="single" w:color="auto" w:sz="8" w:space="0"/>
            </w:tcBorders>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总镉</w:t>
            </w:r>
          </w:p>
        </w:tc>
        <w:tc>
          <w:tcPr>
            <w:tcW w:w="3261"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tcBorders>
              <w:bottom w:val="single" w:color="auto" w:sz="8" w:space="0"/>
            </w:tcBorders>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总铅</w:t>
            </w:r>
          </w:p>
        </w:tc>
        <w:tc>
          <w:tcPr>
            <w:tcW w:w="3261"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tcBorders>
              <w:bottom w:val="single" w:color="auto" w:sz="8" w:space="0"/>
            </w:tcBorders>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总铬</w:t>
            </w:r>
          </w:p>
        </w:tc>
        <w:tc>
          <w:tcPr>
            <w:tcW w:w="3261"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tcBorders>
              <w:bottom w:val="single" w:color="auto" w:sz="8" w:space="0"/>
            </w:tcBorders>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tcBorders>
              <w:bottom w:val="single" w:color="auto" w:sz="8" w:space="0"/>
            </w:tcBorders>
            <w:shd w:val="clear" w:color="auto" w:fill="auto"/>
            <w:vAlign w:val="center"/>
          </w:tcPr>
          <w:p>
            <w:pPr>
              <w:widowControl/>
              <w:jc w:val="center"/>
              <w:rPr>
                <w:color w:val="000000"/>
                <w:kern w:val="0"/>
                <w:szCs w:val="21"/>
              </w:rPr>
            </w:pPr>
            <w:r>
              <w:rPr>
                <w:color w:val="000000"/>
                <w:kern w:val="0"/>
                <w:szCs w:val="21"/>
              </w:rPr>
              <w:t>总汞</w:t>
            </w:r>
          </w:p>
        </w:tc>
        <w:tc>
          <w:tcPr>
            <w:tcW w:w="3261" w:type="dxa"/>
            <w:shd w:val="clear" w:color="auto" w:fill="FFFFFF"/>
            <w:vAlign w:val="center"/>
          </w:tcPr>
          <w:p>
            <w:pPr>
              <w:jc w:val="center"/>
              <w:rPr>
                <w:color w:val="000000"/>
                <w:kern w:val="0"/>
                <w:szCs w:val="21"/>
              </w:rPr>
            </w:pPr>
            <w:r>
              <w:rPr>
                <w:color w:val="000000"/>
                <w:kern w:val="0"/>
                <w:szCs w:val="21"/>
              </w:rPr>
              <w:t>GB/T 23349-2020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color w:val="000000"/>
                <w:kern w:val="0"/>
                <w:szCs w:val="21"/>
              </w:rPr>
              <w:t>总铊</w:t>
            </w:r>
          </w:p>
        </w:tc>
        <w:tc>
          <w:tcPr>
            <w:tcW w:w="3261" w:type="dxa"/>
            <w:shd w:val="clear" w:color="auto" w:fill="FFFFFF"/>
            <w:vAlign w:val="center"/>
          </w:tcPr>
          <w:p>
            <w:pPr>
              <w:widowControl/>
              <w:jc w:val="center"/>
              <w:rPr>
                <w:color w:val="000000"/>
                <w:kern w:val="0"/>
                <w:szCs w:val="21"/>
              </w:rPr>
            </w:pPr>
            <w:r>
              <w:rPr>
                <w:color w:val="000000"/>
                <w:kern w:val="0"/>
                <w:szCs w:val="21"/>
              </w:rPr>
              <w:t>GB 38400-2019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34" w:hRule="atLeast"/>
        </w:trPr>
        <w:tc>
          <w:tcPr>
            <w:tcW w:w="699" w:type="dxa"/>
            <w:shd w:val="clear" w:color="auto" w:fill="auto"/>
            <w:vAlign w:val="center"/>
          </w:tcPr>
          <w:p>
            <w:pPr>
              <w:pStyle w:val="20"/>
              <w:widowControl/>
              <w:numPr>
                <w:ilvl w:val="0"/>
                <w:numId w:val="2"/>
              </w:numPr>
              <w:ind w:firstLineChars="0"/>
              <w:jc w:val="center"/>
              <w:rPr>
                <w:rFonts w:ascii="Times New Roman" w:hAnsi="Times New Roman" w:eastAsia="宋体"/>
                <w:color w:val="000000"/>
                <w:kern w:val="0"/>
                <w:szCs w:val="21"/>
              </w:rPr>
            </w:pPr>
          </w:p>
        </w:tc>
        <w:tc>
          <w:tcPr>
            <w:tcW w:w="4961" w:type="dxa"/>
            <w:shd w:val="clear" w:color="auto" w:fill="auto"/>
            <w:vAlign w:val="center"/>
          </w:tcPr>
          <w:p>
            <w:pPr>
              <w:widowControl/>
              <w:jc w:val="center"/>
              <w:rPr>
                <w:color w:val="000000"/>
                <w:kern w:val="0"/>
                <w:szCs w:val="21"/>
              </w:rPr>
            </w:pPr>
            <w:r>
              <w:rPr>
                <w:color w:val="000000"/>
                <w:kern w:val="0"/>
                <w:szCs w:val="21"/>
              </w:rPr>
              <w:t>包装标识</w:t>
            </w:r>
            <w:r>
              <w:rPr>
                <w:rFonts w:hint="eastAsia"/>
                <w:color w:val="000000"/>
                <w:kern w:val="0"/>
                <w:szCs w:val="21"/>
              </w:rPr>
              <w:t>(养分含量</w:t>
            </w:r>
            <w:r>
              <w:rPr>
                <w:color w:val="000000"/>
                <w:kern w:val="0"/>
                <w:szCs w:val="21"/>
              </w:rPr>
              <w:t>)</w:t>
            </w:r>
          </w:p>
        </w:tc>
        <w:tc>
          <w:tcPr>
            <w:tcW w:w="3261" w:type="dxa"/>
            <w:shd w:val="clear" w:color="auto" w:fill="auto"/>
            <w:vAlign w:val="center"/>
          </w:tcPr>
          <w:p>
            <w:pPr>
              <w:widowControl/>
              <w:jc w:val="center"/>
              <w:rPr>
                <w:bCs/>
                <w:color w:val="000000"/>
                <w:szCs w:val="21"/>
              </w:rPr>
            </w:pPr>
            <w:r>
              <w:rPr>
                <w:color w:val="000000"/>
                <w:kern w:val="0"/>
                <w:szCs w:val="21"/>
              </w:rPr>
              <w:t>GB 18382-2021</w:t>
            </w:r>
          </w:p>
          <w:p>
            <w:pPr>
              <w:jc w:val="center"/>
              <w:rPr>
                <w:color w:val="000000"/>
                <w:kern w:val="0"/>
                <w:szCs w:val="21"/>
              </w:rPr>
            </w:pPr>
            <w:r>
              <w:rPr>
                <w:color w:val="000000"/>
                <w:kern w:val="0"/>
                <w:szCs w:val="21"/>
              </w:rPr>
              <w:t>GB/T 20412-2006</w:t>
            </w:r>
          </w:p>
          <w:p>
            <w:pPr>
              <w:jc w:val="center"/>
              <w:rPr>
                <w:color w:val="000000"/>
                <w:kern w:val="0"/>
                <w:szCs w:val="21"/>
              </w:rPr>
            </w:pPr>
            <w:r>
              <w:rPr>
                <w:color w:val="000000"/>
                <w:kern w:val="0"/>
                <w:szCs w:val="21"/>
              </w:rPr>
              <w:t>GB/T 20412-2021</w:t>
            </w:r>
          </w:p>
        </w:tc>
      </w:tr>
    </w:tbl>
    <w:p>
      <w:pPr>
        <w:adjustRightInd w:val="0"/>
        <w:snapToGrid w:val="0"/>
        <w:spacing w:line="440" w:lineRule="exact"/>
        <w:ind w:firstLine="424" w:firstLineChars="202"/>
        <w:rPr>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color w:val="000000"/>
          <w:szCs w:val="21"/>
        </w:rPr>
      </w:pP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bCs/>
          <w:color w:val="000000"/>
          <w:szCs w:val="21"/>
        </w:rPr>
      </w:pPr>
      <w:r>
        <w:rPr>
          <w:rFonts w:hint="eastAsia"/>
          <w:color w:val="000000"/>
          <w:szCs w:val="21"/>
        </w:rPr>
        <w:t>3.1依据标准</w:t>
      </w:r>
    </w:p>
    <w:p>
      <w:pPr>
        <w:spacing w:line="440" w:lineRule="exact"/>
        <w:ind w:firstLine="420" w:firstLineChars="200"/>
        <w:rPr>
          <w:bCs/>
          <w:color w:val="000000"/>
          <w:szCs w:val="21"/>
        </w:rPr>
      </w:pPr>
      <w:r>
        <w:rPr>
          <w:rFonts w:hint="eastAsia"/>
          <w:bCs/>
          <w:color w:val="000000"/>
          <w:szCs w:val="21"/>
        </w:rPr>
        <w:t>GB 18382-20</w:t>
      </w:r>
      <w:r>
        <w:rPr>
          <w:bCs/>
          <w:color w:val="000000"/>
          <w:szCs w:val="21"/>
        </w:rPr>
        <w:t>2</w:t>
      </w:r>
      <w:r>
        <w:rPr>
          <w:rFonts w:hint="eastAsia"/>
          <w:bCs/>
          <w:color w:val="000000"/>
          <w:szCs w:val="21"/>
        </w:rPr>
        <w:t>1 肥料标识 内容和要求</w:t>
      </w:r>
    </w:p>
    <w:p>
      <w:pPr>
        <w:spacing w:line="440" w:lineRule="exact"/>
        <w:ind w:firstLine="420" w:firstLineChars="200"/>
        <w:rPr>
          <w:bCs/>
          <w:color w:val="000000"/>
          <w:szCs w:val="21"/>
        </w:rPr>
      </w:pPr>
      <w:r>
        <w:rPr>
          <w:rFonts w:hint="eastAsia"/>
          <w:bCs/>
          <w:color w:val="000000"/>
          <w:szCs w:val="21"/>
        </w:rPr>
        <w:t>GB 38400-2019 肥料中有毒有害物质的限量要求</w:t>
      </w:r>
    </w:p>
    <w:p>
      <w:pPr>
        <w:spacing w:line="440" w:lineRule="exact"/>
        <w:ind w:firstLine="420" w:firstLineChars="200"/>
        <w:rPr>
          <w:bCs/>
          <w:color w:val="000000"/>
          <w:szCs w:val="21"/>
        </w:rPr>
      </w:pPr>
      <w:r>
        <w:rPr>
          <w:bCs/>
          <w:color w:val="000000"/>
          <w:szCs w:val="21"/>
        </w:rPr>
        <w:t xml:space="preserve">GB/T 20412-2006 </w:t>
      </w:r>
      <w:r>
        <w:rPr>
          <w:rFonts w:hint="eastAsia"/>
          <w:bCs/>
          <w:color w:val="000000"/>
          <w:szCs w:val="21"/>
        </w:rPr>
        <w:t>钙镁磷肥</w:t>
      </w:r>
      <w:r>
        <w:rPr>
          <w:rFonts w:hint="eastAsia"/>
          <w:color w:val="000000"/>
          <w:kern w:val="0"/>
          <w:szCs w:val="21"/>
        </w:rPr>
        <w:t>(</w:t>
      </w:r>
      <w:r>
        <w:rPr>
          <w:bCs/>
          <w:color w:val="000000"/>
          <w:szCs w:val="21"/>
        </w:rPr>
        <w:t>适用于2022年5月1日</w:t>
      </w:r>
      <w:r>
        <w:rPr>
          <w:rFonts w:hint="eastAsia"/>
          <w:bCs/>
          <w:color w:val="000000"/>
          <w:szCs w:val="21"/>
        </w:rPr>
        <w:t>前生产的产品)</w:t>
      </w:r>
    </w:p>
    <w:p>
      <w:pPr>
        <w:spacing w:line="440" w:lineRule="exact"/>
        <w:ind w:firstLine="420" w:firstLineChars="200"/>
        <w:rPr>
          <w:bCs/>
          <w:color w:val="000000"/>
          <w:szCs w:val="21"/>
        </w:rPr>
      </w:pPr>
      <w:r>
        <w:rPr>
          <w:rFonts w:hint="eastAsia"/>
          <w:bCs/>
          <w:color w:val="000000"/>
          <w:szCs w:val="21"/>
        </w:rPr>
        <w:t xml:space="preserve">GB/T </w:t>
      </w:r>
      <w:r>
        <w:rPr>
          <w:bCs/>
          <w:color w:val="000000"/>
          <w:szCs w:val="21"/>
        </w:rPr>
        <w:t>20412-2021</w:t>
      </w:r>
      <w:r>
        <w:rPr>
          <w:rFonts w:hint="eastAsia"/>
          <w:bCs/>
          <w:color w:val="000000"/>
          <w:szCs w:val="21"/>
        </w:rPr>
        <w:t xml:space="preserve"> 钙镁磷肥</w:t>
      </w:r>
      <w:r>
        <w:rPr>
          <w:rFonts w:hint="eastAsia"/>
          <w:color w:val="000000"/>
          <w:kern w:val="0"/>
          <w:szCs w:val="21"/>
        </w:rPr>
        <w:t>(</w:t>
      </w:r>
      <w:r>
        <w:rPr>
          <w:bCs/>
          <w:color w:val="000000"/>
          <w:szCs w:val="21"/>
        </w:rPr>
        <w:t>适用于2022年5月1日及以后生产的产品</w:t>
      </w:r>
      <w:r>
        <w:rPr>
          <w:rFonts w:hint="eastAsia"/>
          <w:bCs/>
          <w:color w:val="000000"/>
          <w:szCs w:val="21"/>
        </w:rPr>
        <w:t>)</w:t>
      </w:r>
    </w:p>
    <w:p>
      <w:pPr>
        <w:spacing w:line="440" w:lineRule="exact"/>
        <w:ind w:firstLine="420" w:firstLineChars="200"/>
        <w:rPr>
          <w:bCs/>
          <w:color w:val="000000"/>
          <w:szCs w:val="21"/>
        </w:rPr>
      </w:pPr>
      <w:r>
        <w:rPr>
          <w:rFonts w:hint="eastAsia"/>
          <w:bCs/>
          <w:color w:val="000000"/>
          <w:szCs w:val="21"/>
        </w:rPr>
        <w:t xml:space="preserve">GB/T </w:t>
      </w:r>
      <w:r>
        <w:rPr>
          <w:bCs/>
          <w:color w:val="000000"/>
          <w:szCs w:val="21"/>
        </w:rPr>
        <w:t xml:space="preserve">20413-2017 </w:t>
      </w:r>
      <w:r>
        <w:rPr>
          <w:rFonts w:hint="eastAsia"/>
          <w:bCs/>
          <w:color w:val="000000"/>
          <w:szCs w:val="21"/>
        </w:rPr>
        <w:t>过磷酸钙</w:t>
      </w:r>
    </w:p>
    <w:p>
      <w:pPr>
        <w:spacing w:line="440" w:lineRule="exact"/>
        <w:ind w:firstLine="420" w:firstLineChars="200"/>
        <w:rPr>
          <w:bCs/>
          <w:strike/>
          <w:color w:val="000000"/>
          <w:szCs w:val="21"/>
        </w:rPr>
      </w:pPr>
      <w:r>
        <w:rPr>
          <w:rFonts w:hint="eastAsia"/>
          <w:color w:val="000000"/>
          <w:szCs w:val="21"/>
        </w:rPr>
        <w:t>现行有效的企业标准、团体标准、地方标准及产品明示质量要求</w:t>
      </w:r>
    </w:p>
    <w:p>
      <w:pPr>
        <w:snapToGrid w:val="0"/>
        <w:spacing w:line="440" w:lineRule="exact"/>
        <w:rPr>
          <w:color w:val="000000"/>
          <w:szCs w:val="21"/>
        </w:rPr>
      </w:pPr>
      <w:r>
        <w:rPr>
          <w:rFonts w:hint="eastAsia"/>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pPr>
        <w:spacing w:line="440" w:lineRule="exact"/>
        <w:rPr>
          <w:color w:val="FF0000"/>
          <w:szCs w:val="21"/>
        </w:rPr>
      </w:pPr>
    </w:p>
    <w:p>
      <w:pPr>
        <w:spacing w:line="440" w:lineRule="exact"/>
        <w:rPr>
          <w:rFonts w:eastAsia="黑体"/>
          <w:color w:val="000000"/>
          <w:szCs w:val="21"/>
        </w:rPr>
      </w:pPr>
      <w:r>
        <w:rPr>
          <w:rFonts w:hint="eastAsia" w:eastAsia="黑体"/>
          <w:color w:val="000000"/>
          <w:szCs w:val="21"/>
        </w:rPr>
        <w:t>4 附则</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color w:val="000000"/>
          <w:szCs w:val="21"/>
        </w:rPr>
      </w:pPr>
      <w:r>
        <w:rPr>
          <w:rFonts w:hint="eastAsia"/>
          <w:color w:val="000000"/>
          <w:szCs w:val="21"/>
        </w:rPr>
        <w:t>本细则代替《市场监管总局关于发布玩具等62种产品质量国家监督抽查实施细则的公告》（2021年第15号）中的《磷肥产品质量国家监督抽查实施细则》。</w:t>
      </w:r>
      <w:bookmarkStart w:id="0" w:name="_GoBack"/>
      <w:bookmarkEnd w:id="0"/>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en-US"/>
      </w:rPr>
      <w:t>3</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107E9"/>
    <w:multiLevelType w:val="multilevel"/>
    <w:tmpl w:val="14B107E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934969"/>
    <w:multiLevelType w:val="multilevel"/>
    <w:tmpl w:val="4D93496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RmZDlmMjdkNDI1NjEzMmI2Y2M4ZTAxODQ5YmJlMTYifQ=="/>
  </w:docVars>
  <w:rsids>
    <w:rsidRoot w:val="00172A27"/>
    <w:rsid w:val="00000942"/>
    <w:rsid w:val="00010EA9"/>
    <w:rsid w:val="00020AD5"/>
    <w:rsid w:val="000226EC"/>
    <w:rsid w:val="000276A9"/>
    <w:rsid w:val="00047455"/>
    <w:rsid w:val="0005011C"/>
    <w:rsid w:val="00051A44"/>
    <w:rsid w:val="00071001"/>
    <w:rsid w:val="00073DC1"/>
    <w:rsid w:val="00074506"/>
    <w:rsid w:val="00080749"/>
    <w:rsid w:val="00081CBD"/>
    <w:rsid w:val="00085F04"/>
    <w:rsid w:val="000976DE"/>
    <w:rsid w:val="000B50F1"/>
    <w:rsid w:val="000D0007"/>
    <w:rsid w:val="000D4557"/>
    <w:rsid w:val="000F0B81"/>
    <w:rsid w:val="000F43C5"/>
    <w:rsid w:val="000F6E44"/>
    <w:rsid w:val="00103015"/>
    <w:rsid w:val="001035C2"/>
    <w:rsid w:val="00111206"/>
    <w:rsid w:val="001146B2"/>
    <w:rsid w:val="00116CE7"/>
    <w:rsid w:val="001201FA"/>
    <w:rsid w:val="00127A7C"/>
    <w:rsid w:val="00130B81"/>
    <w:rsid w:val="00140AA8"/>
    <w:rsid w:val="0014421B"/>
    <w:rsid w:val="00166DF8"/>
    <w:rsid w:val="001715A9"/>
    <w:rsid w:val="00172A27"/>
    <w:rsid w:val="001745C6"/>
    <w:rsid w:val="00177A5D"/>
    <w:rsid w:val="001809DD"/>
    <w:rsid w:val="00194699"/>
    <w:rsid w:val="001950D6"/>
    <w:rsid w:val="00195EDC"/>
    <w:rsid w:val="001A64CC"/>
    <w:rsid w:val="001A76A2"/>
    <w:rsid w:val="001B662F"/>
    <w:rsid w:val="001B7F63"/>
    <w:rsid w:val="001C2060"/>
    <w:rsid w:val="001C4F34"/>
    <w:rsid w:val="001C6D90"/>
    <w:rsid w:val="001D1FBC"/>
    <w:rsid w:val="001D6824"/>
    <w:rsid w:val="001F19F4"/>
    <w:rsid w:val="001F4FAC"/>
    <w:rsid w:val="00205CEE"/>
    <w:rsid w:val="00207DDD"/>
    <w:rsid w:val="002110DB"/>
    <w:rsid w:val="0021785F"/>
    <w:rsid w:val="00223317"/>
    <w:rsid w:val="00227025"/>
    <w:rsid w:val="00240199"/>
    <w:rsid w:val="00246D70"/>
    <w:rsid w:val="00253624"/>
    <w:rsid w:val="002545EF"/>
    <w:rsid w:val="0025593B"/>
    <w:rsid w:val="002571F5"/>
    <w:rsid w:val="00261610"/>
    <w:rsid w:val="00262788"/>
    <w:rsid w:val="00273591"/>
    <w:rsid w:val="00274887"/>
    <w:rsid w:val="00274E3E"/>
    <w:rsid w:val="00281ABD"/>
    <w:rsid w:val="00293B52"/>
    <w:rsid w:val="00295E2E"/>
    <w:rsid w:val="002A7D1C"/>
    <w:rsid w:val="002B50E7"/>
    <w:rsid w:val="002C6D0F"/>
    <w:rsid w:val="002D7F8A"/>
    <w:rsid w:val="002E0D1D"/>
    <w:rsid w:val="002E68A8"/>
    <w:rsid w:val="002F49EA"/>
    <w:rsid w:val="00302A7E"/>
    <w:rsid w:val="00314292"/>
    <w:rsid w:val="003203A3"/>
    <w:rsid w:val="0032503A"/>
    <w:rsid w:val="003369F0"/>
    <w:rsid w:val="00353564"/>
    <w:rsid w:val="0036524B"/>
    <w:rsid w:val="00371567"/>
    <w:rsid w:val="00375E4A"/>
    <w:rsid w:val="003858D6"/>
    <w:rsid w:val="0039208F"/>
    <w:rsid w:val="003B3F2A"/>
    <w:rsid w:val="003C388C"/>
    <w:rsid w:val="003C4CFD"/>
    <w:rsid w:val="003D0118"/>
    <w:rsid w:val="003D1DC7"/>
    <w:rsid w:val="003E4890"/>
    <w:rsid w:val="003E61BF"/>
    <w:rsid w:val="003F03A8"/>
    <w:rsid w:val="00412456"/>
    <w:rsid w:val="00421BC8"/>
    <w:rsid w:val="00421C9B"/>
    <w:rsid w:val="00427D8E"/>
    <w:rsid w:val="0043142C"/>
    <w:rsid w:val="00431D0F"/>
    <w:rsid w:val="00434BE0"/>
    <w:rsid w:val="00442A9A"/>
    <w:rsid w:val="00445E86"/>
    <w:rsid w:val="004473BE"/>
    <w:rsid w:val="004532DE"/>
    <w:rsid w:val="00474E04"/>
    <w:rsid w:val="00475152"/>
    <w:rsid w:val="00481380"/>
    <w:rsid w:val="004820E0"/>
    <w:rsid w:val="00487D09"/>
    <w:rsid w:val="00490A9C"/>
    <w:rsid w:val="004A3EA4"/>
    <w:rsid w:val="004B5ACF"/>
    <w:rsid w:val="004C32A1"/>
    <w:rsid w:val="004D0C5A"/>
    <w:rsid w:val="004D0E11"/>
    <w:rsid w:val="004D25D5"/>
    <w:rsid w:val="004E1396"/>
    <w:rsid w:val="004E2E27"/>
    <w:rsid w:val="004E5230"/>
    <w:rsid w:val="004F1247"/>
    <w:rsid w:val="00515553"/>
    <w:rsid w:val="00533960"/>
    <w:rsid w:val="00541066"/>
    <w:rsid w:val="0054465D"/>
    <w:rsid w:val="005601FA"/>
    <w:rsid w:val="00560BA9"/>
    <w:rsid w:val="00563EBC"/>
    <w:rsid w:val="0056565E"/>
    <w:rsid w:val="005830E6"/>
    <w:rsid w:val="005A2E2A"/>
    <w:rsid w:val="005A66CB"/>
    <w:rsid w:val="005C1085"/>
    <w:rsid w:val="005C759E"/>
    <w:rsid w:val="005D10AF"/>
    <w:rsid w:val="005D7A29"/>
    <w:rsid w:val="005E13E8"/>
    <w:rsid w:val="00606C30"/>
    <w:rsid w:val="00613EFC"/>
    <w:rsid w:val="00616DD9"/>
    <w:rsid w:val="00620556"/>
    <w:rsid w:val="00620856"/>
    <w:rsid w:val="006241C7"/>
    <w:rsid w:val="0063183B"/>
    <w:rsid w:val="00643C90"/>
    <w:rsid w:val="00663D21"/>
    <w:rsid w:val="006661AC"/>
    <w:rsid w:val="00666A57"/>
    <w:rsid w:val="006701D8"/>
    <w:rsid w:val="00670B99"/>
    <w:rsid w:val="00674598"/>
    <w:rsid w:val="006A6995"/>
    <w:rsid w:val="006B0B41"/>
    <w:rsid w:val="006B7ACD"/>
    <w:rsid w:val="006C2241"/>
    <w:rsid w:val="006C3A18"/>
    <w:rsid w:val="006C61CD"/>
    <w:rsid w:val="006E3C22"/>
    <w:rsid w:val="006F0971"/>
    <w:rsid w:val="006F612E"/>
    <w:rsid w:val="007035AB"/>
    <w:rsid w:val="007064E0"/>
    <w:rsid w:val="007076A7"/>
    <w:rsid w:val="00710BF3"/>
    <w:rsid w:val="007122D4"/>
    <w:rsid w:val="00712AB3"/>
    <w:rsid w:val="007179EF"/>
    <w:rsid w:val="0072115B"/>
    <w:rsid w:val="0072334C"/>
    <w:rsid w:val="00723479"/>
    <w:rsid w:val="00727689"/>
    <w:rsid w:val="0074174D"/>
    <w:rsid w:val="00743812"/>
    <w:rsid w:val="00746F74"/>
    <w:rsid w:val="00756A15"/>
    <w:rsid w:val="00783695"/>
    <w:rsid w:val="0078517D"/>
    <w:rsid w:val="007A0EEB"/>
    <w:rsid w:val="007B3BBD"/>
    <w:rsid w:val="007D4CB7"/>
    <w:rsid w:val="007D5622"/>
    <w:rsid w:val="007F1E4E"/>
    <w:rsid w:val="007F7F45"/>
    <w:rsid w:val="0080654F"/>
    <w:rsid w:val="00806B9E"/>
    <w:rsid w:val="0081453E"/>
    <w:rsid w:val="00822423"/>
    <w:rsid w:val="00830B7D"/>
    <w:rsid w:val="00832480"/>
    <w:rsid w:val="0083350B"/>
    <w:rsid w:val="00833A7C"/>
    <w:rsid w:val="00835F10"/>
    <w:rsid w:val="0084366D"/>
    <w:rsid w:val="008534E8"/>
    <w:rsid w:val="008549FB"/>
    <w:rsid w:val="00854E01"/>
    <w:rsid w:val="00854F6E"/>
    <w:rsid w:val="00870CE4"/>
    <w:rsid w:val="008835C2"/>
    <w:rsid w:val="0089053D"/>
    <w:rsid w:val="00894619"/>
    <w:rsid w:val="00895BEA"/>
    <w:rsid w:val="008A0FF4"/>
    <w:rsid w:val="008A3497"/>
    <w:rsid w:val="008A35DF"/>
    <w:rsid w:val="008A4D10"/>
    <w:rsid w:val="008A5AF6"/>
    <w:rsid w:val="008A5D98"/>
    <w:rsid w:val="008B14D0"/>
    <w:rsid w:val="008B69C6"/>
    <w:rsid w:val="008C1B60"/>
    <w:rsid w:val="008C4EE5"/>
    <w:rsid w:val="008C6467"/>
    <w:rsid w:val="008D4351"/>
    <w:rsid w:val="008E06DB"/>
    <w:rsid w:val="008F02F1"/>
    <w:rsid w:val="008F2CA7"/>
    <w:rsid w:val="00917A54"/>
    <w:rsid w:val="00926104"/>
    <w:rsid w:val="009339AE"/>
    <w:rsid w:val="0094409B"/>
    <w:rsid w:val="009443F6"/>
    <w:rsid w:val="00954167"/>
    <w:rsid w:val="009659A3"/>
    <w:rsid w:val="00972E10"/>
    <w:rsid w:val="00973B12"/>
    <w:rsid w:val="0097514F"/>
    <w:rsid w:val="00984F3B"/>
    <w:rsid w:val="009C1920"/>
    <w:rsid w:val="009C675A"/>
    <w:rsid w:val="009D29B0"/>
    <w:rsid w:val="009D6F6B"/>
    <w:rsid w:val="009D7B49"/>
    <w:rsid w:val="009E0E15"/>
    <w:rsid w:val="009E2BF7"/>
    <w:rsid w:val="009E5C5F"/>
    <w:rsid w:val="009E73FD"/>
    <w:rsid w:val="009E7934"/>
    <w:rsid w:val="009F4FA5"/>
    <w:rsid w:val="009F51AC"/>
    <w:rsid w:val="009F6B32"/>
    <w:rsid w:val="00A0606A"/>
    <w:rsid w:val="00A15656"/>
    <w:rsid w:val="00A2258D"/>
    <w:rsid w:val="00A22C79"/>
    <w:rsid w:val="00A37CA7"/>
    <w:rsid w:val="00A40693"/>
    <w:rsid w:val="00A43553"/>
    <w:rsid w:val="00A459AA"/>
    <w:rsid w:val="00A62375"/>
    <w:rsid w:val="00A62B41"/>
    <w:rsid w:val="00A65982"/>
    <w:rsid w:val="00A7137F"/>
    <w:rsid w:val="00A743A3"/>
    <w:rsid w:val="00A8778B"/>
    <w:rsid w:val="00A91506"/>
    <w:rsid w:val="00A94D7D"/>
    <w:rsid w:val="00AA1AA4"/>
    <w:rsid w:val="00AA2BE0"/>
    <w:rsid w:val="00AA5741"/>
    <w:rsid w:val="00AB41F0"/>
    <w:rsid w:val="00AC1E83"/>
    <w:rsid w:val="00AD088A"/>
    <w:rsid w:val="00AD1654"/>
    <w:rsid w:val="00AE24A4"/>
    <w:rsid w:val="00AE64CD"/>
    <w:rsid w:val="00B11A9D"/>
    <w:rsid w:val="00B414A8"/>
    <w:rsid w:val="00B44C59"/>
    <w:rsid w:val="00B44DCA"/>
    <w:rsid w:val="00B4536A"/>
    <w:rsid w:val="00B511DF"/>
    <w:rsid w:val="00B54A25"/>
    <w:rsid w:val="00B6027C"/>
    <w:rsid w:val="00B6469F"/>
    <w:rsid w:val="00B82294"/>
    <w:rsid w:val="00B92EA8"/>
    <w:rsid w:val="00BA29DB"/>
    <w:rsid w:val="00BA444C"/>
    <w:rsid w:val="00BB305E"/>
    <w:rsid w:val="00BC00E5"/>
    <w:rsid w:val="00BC0F3D"/>
    <w:rsid w:val="00BC2570"/>
    <w:rsid w:val="00BC5C12"/>
    <w:rsid w:val="00BE544A"/>
    <w:rsid w:val="00BE736F"/>
    <w:rsid w:val="00BF0196"/>
    <w:rsid w:val="00BF04E2"/>
    <w:rsid w:val="00BF2499"/>
    <w:rsid w:val="00BF7BC7"/>
    <w:rsid w:val="00C04BB6"/>
    <w:rsid w:val="00C04BF7"/>
    <w:rsid w:val="00C05D0E"/>
    <w:rsid w:val="00C11645"/>
    <w:rsid w:val="00C12882"/>
    <w:rsid w:val="00C26074"/>
    <w:rsid w:val="00C3069F"/>
    <w:rsid w:val="00C353D5"/>
    <w:rsid w:val="00C45FF7"/>
    <w:rsid w:val="00C474D6"/>
    <w:rsid w:val="00C5014D"/>
    <w:rsid w:val="00C54BC5"/>
    <w:rsid w:val="00C567D5"/>
    <w:rsid w:val="00C83B0A"/>
    <w:rsid w:val="00C86ACC"/>
    <w:rsid w:val="00CB4CFB"/>
    <w:rsid w:val="00CC19E2"/>
    <w:rsid w:val="00CC3F7B"/>
    <w:rsid w:val="00CC5274"/>
    <w:rsid w:val="00CD3A75"/>
    <w:rsid w:val="00CE1E0C"/>
    <w:rsid w:val="00CE277E"/>
    <w:rsid w:val="00D15D3E"/>
    <w:rsid w:val="00D233FB"/>
    <w:rsid w:val="00D32354"/>
    <w:rsid w:val="00D3565B"/>
    <w:rsid w:val="00D35C5A"/>
    <w:rsid w:val="00D45E0D"/>
    <w:rsid w:val="00D46CD4"/>
    <w:rsid w:val="00D56867"/>
    <w:rsid w:val="00D77E90"/>
    <w:rsid w:val="00D8132E"/>
    <w:rsid w:val="00D8192B"/>
    <w:rsid w:val="00D819C5"/>
    <w:rsid w:val="00D93E53"/>
    <w:rsid w:val="00DA5D18"/>
    <w:rsid w:val="00DB61A4"/>
    <w:rsid w:val="00DB6E0E"/>
    <w:rsid w:val="00DC197B"/>
    <w:rsid w:val="00DE5A74"/>
    <w:rsid w:val="00DF135C"/>
    <w:rsid w:val="00DF77D7"/>
    <w:rsid w:val="00DF7D61"/>
    <w:rsid w:val="00E02A7F"/>
    <w:rsid w:val="00E07880"/>
    <w:rsid w:val="00E10A2A"/>
    <w:rsid w:val="00E514CE"/>
    <w:rsid w:val="00E57A20"/>
    <w:rsid w:val="00E75541"/>
    <w:rsid w:val="00E75AA2"/>
    <w:rsid w:val="00E82621"/>
    <w:rsid w:val="00E82AA9"/>
    <w:rsid w:val="00E85E2F"/>
    <w:rsid w:val="00E87DCC"/>
    <w:rsid w:val="00E87FAC"/>
    <w:rsid w:val="00E931AF"/>
    <w:rsid w:val="00E97FE4"/>
    <w:rsid w:val="00EC1B50"/>
    <w:rsid w:val="00EE2F85"/>
    <w:rsid w:val="00F17644"/>
    <w:rsid w:val="00F278B5"/>
    <w:rsid w:val="00F36321"/>
    <w:rsid w:val="00F370D1"/>
    <w:rsid w:val="00F403E2"/>
    <w:rsid w:val="00F41F1B"/>
    <w:rsid w:val="00F51B27"/>
    <w:rsid w:val="00F5233C"/>
    <w:rsid w:val="00F542F2"/>
    <w:rsid w:val="00F7003B"/>
    <w:rsid w:val="00F721D8"/>
    <w:rsid w:val="00F76B38"/>
    <w:rsid w:val="00F77C9A"/>
    <w:rsid w:val="00F77F9E"/>
    <w:rsid w:val="00F90664"/>
    <w:rsid w:val="00F91FAE"/>
    <w:rsid w:val="00F93069"/>
    <w:rsid w:val="00F9402A"/>
    <w:rsid w:val="00F94C18"/>
    <w:rsid w:val="00FB13D0"/>
    <w:rsid w:val="00FB2570"/>
    <w:rsid w:val="00FB576C"/>
    <w:rsid w:val="00FB5BB7"/>
    <w:rsid w:val="00FC4CF8"/>
    <w:rsid w:val="00FD2AA6"/>
    <w:rsid w:val="00FE61AD"/>
    <w:rsid w:val="00FE7E8A"/>
    <w:rsid w:val="00FF477D"/>
    <w:rsid w:val="00FF703E"/>
    <w:rsid w:val="2C0172F2"/>
    <w:rsid w:val="72876AE8"/>
    <w:rsid w:val="78444EA7"/>
    <w:rsid w:val="7B440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rPr>
      <w:lang w:val="zh-CN"/>
    </w:rPr>
  </w:style>
  <w:style w:type="paragraph" w:styleId="3">
    <w:name w:val="Date"/>
    <w:basedOn w:val="1"/>
    <w:next w:val="1"/>
    <w:link w:val="18"/>
    <w:unhideWhenUsed/>
    <w:qFormat/>
    <w:uiPriority w:val="99"/>
    <w:pPr>
      <w:ind w:left="100" w:leftChars="2500"/>
    </w:pPr>
    <w:rPr>
      <w:lang w:val="zh-CN"/>
    </w:rPr>
  </w:style>
  <w:style w:type="paragraph" w:styleId="4">
    <w:name w:val="Balloon Text"/>
    <w:basedOn w:val="1"/>
    <w:link w:val="13"/>
    <w:unhideWhenUsed/>
    <w:qFormat/>
    <w:uiPriority w:val="99"/>
    <w:rPr>
      <w:sz w:val="18"/>
      <w:szCs w:val="18"/>
      <w:lang w:val="zh-CN"/>
    </w:rPr>
  </w:style>
  <w:style w:type="paragraph" w:styleId="5">
    <w:name w:val="footer"/>
    <w:basedOn w:val="1"/>
    <w:link w:val="15"/>
    <w:unhideWhenUsed/>
    <w:qFormat/>
    <w:uiPriority w:val="99"/>
    <w:pPr>
      <w:tabs>
        <w:tab w:val="center" w:pos="4153"/>
        <w:tab w:val="right" w:pos="8306"/>
      </w:tabs>
      <w:snapToGrid w:val="0"/>
      <w:jc w:val="left"/>
    </w:pPr>
    <w:rPr>
      <w:sz w:val="18"/>
      <w:szCs w:val="18"/>
      <w:lang w:val="zh-CN"/>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annotation subject"/>
    <w:basedOn w:val="2"/>
    <w:next w:val="2"/>
    <w:link w:val="17"/>
    <w:unhideWhenUsed/>
    <w:qFormat/>
    <w:uiPriority w:val="99"/>
    <w:rPr>
      <w:b/>
      <w:bCs/>
    </w:rPr>
  </w:style>
  <w:style w:type="character" w:styleId="10">
    <w:name w:val="page number"/>
    <w:basedOn w:val="9"/>
    <w:qFormat/>
    <w:uiPriority w:val="0"/>
  </w:style>
  <w:style w:type="character" w:styleId="11">
    <w:name w:val="Hyperlink"/>
    <w:semiHidden/>
    <w:unhideWhenUsed/>
    <w:qFormat/>
    <w:uiPriority w:val="99"/>
    <w:rPr>
      <w:color w:val="0000FF"/>
      <w:u w:val="single"/>
    </w:rPr>
  </w:style>
  <w:style w:type="character" w:styleId="12">
    <w:name w:val="annotation reference"/>
    <w:unhideWhenUsed/>
    <w:qFormat/>
    <w:uiPriority w:val="99"/>
    <w:rPr>
      <w:sz w:val="21"/>
      <w:szCs w:val="21"/>
    </w:rPr>
  </w:style>
  <w:style w:type="character" w:customStyle="1" w:styleId="13">
    <w:name w:val="批注框文本 字符"/>
    <w:link w:val="4"/>
    <w:semiHidden/>
    <w:qFormat/>
    <w:uiPriority w:val="99"/>
    <w:rPr>
      <w:kern w:val="2"/>
      <w:sz w:val="18"/>
      <w:szCs w:val="18"/>
    </w:rPr>
  </w:style>
  <w:style w:type="character" w:customStyle="1" w:styleId="14">
    <w:name w:val="批注文字 字符"/>
    <w:link w:val="2"/>
    <w:semiHidden/>
    <w:qFormat/>
    <w:uiPriority w:val="99"/>
    <w:rPr>
      <w:kern w:val="2"/>
      <w:sz w:val="21"/>
      <w:szCs w:val="24"/>
    </w:rPr>
  </w:style>
  <w:style w:type="character" w:customStyle="1" w:styleId="15">
    <w:name w:val="页脚 字符"/>
    <w:link w:val="5"/>
    <w:qFormat/>
    <w:uiPriority w:val="99"/>
    <w:rPr>
      <w:kern w:val="2"/>
      <w:sz w:val="18"/>
      <w:szCs w:val="18"/>
    </w:rPr>
  </w:style>
  <w:style w:type="character" w:customStyle="1" w:styleId="16">
    <w:name w:val="页眉 字符"/>
    <w:link w:val="6"/>
    <w:semiHidden/>
    <w:qFormat/>
    <w:uiPriority w:val="99"/>
    <w:rPr>
      <w:kern w:val="2"/>
      <w:sz w:val="18"/>
      <w:szCs w:val="18"/>
    </w:rPr>
  </w:style>
  <w:style w:type="character" w:customStyle="1" w:styleId="17">
    <w:name w:val="批注主题 字符"/>
    <w:link w:val="7"/>
    <w:semiHidden/>
    <w:qFormat/>
    <w:uiPriority w:val="99"/>
    <w:rPr>
      <w:b/>
      <w:bCs/>
      <w:kern w:val="2"/>
      <w:sz w:val="21"/>
      <w:szCs w:val="24"/>
    </w:rPr>
  </w:style>
  <w:style w:type="character" w:customStyle="1" w:styleId="18">
    <w:name w:val="日期 字符"/>
    <w:link w:val="3"/>
    <w:semiHidden/>
    <w:qFormat/>
    <w:uiPriority w:val="99"/>
    <w:rPr>
      <w:kern w:val="2"/>
      <w:sz w:val="21"/>
      <w:szCs w:val="24"/>
    </w:rPr>
  </w:style>
  <w:style w:type="paragraph" w:customStyle="1" w:styleId="19">
    <w:name w:val="列出段落1"/>
    <w:basedOn w:val="1"/>
    <w:qFormat/>
    <w:uiPriority w:val="34"/>
    <w:pPr>
      <w:ind w:firstLine="420" w:firstLineChars="200"/>
    </w:pPr>
    <w:rPr>
      <w:rFonts w:ascii="Calibri" w:hAnsi="Calibri"/>
      <w:szCs w:val="22"/>
    </w:rPr>
  </w:style>
  <w:style w:type="paragraph" w:styleId="20">
    <w:name w:val="List Paragraph"/>
    <w:basedOn w:val="1"/>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1B76E-B97F-4560-A502-05F20B1A41A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1025</Words>
  <Characters>1583</Characters>
  <Lines>13</Lines>
  <Paragraphs>3</Paragraphs>
  <TotalTime>1</TotalTime>
  <ScaleCrop>false</ScaleCrop>
  <LinksUpToDate>false</LinksUpToDate>
  <CharactersWithSpaces>1675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2022-04-27T06:13:00Z</dcterms:created>
  <dc:creator>Legend User</dc:creator>
  <cp:lastModifiedBy>dell</cp:lastModifiedBy>
  <cp:lastPrinted>2021-03-19T02:15:00Z</cp:lastPrinted>
  <dcterms:modified xsi:type="dcterms:W3CDTF">2022-04-27T06:14:56Z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0644A99EF87244A78C9BD109270BC35F</vt:lpwstr>
  </property>
</Properties>
</file>